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1" w:rsidRPr="004D36F1" w:rsidRDefault="004D36F1" w:rsidP="004D36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Схвалено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ab/>
        <w:t xml:space="preserve">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Затверджую</w:t>
      </w:r>
    </w:p>
    <w:p w:rsidR="004D36F1" w:rsidRPr="004D36F1" w:rsidRDefault="004D36F1" w:rsidP="004D36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Засіданням педагогічної ради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Директор________________          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_____________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2017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р.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ab/>
        <w:t xml:space="preserve">                                               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О.БУДЬ</w:t>
      </w:r>
    </w:p>
    <w:p w:rsidR="004D36F1" w:rsidRPr="004D36F1" w:rsidRDefault="004D36F1" w:rsidP="004D36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протокол № _______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___________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___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_____</w:t>
      </w:r>
      <w:r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2017 </w:t>
      </w:r>
      <w:r w:rsidRPr="004D36F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р.</w:t>
      </w: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337D1" w:rsidRPr="004D36F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4D36F1"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  <w:t>СТРАТЕГІЯ РОЗВИТКУ</w:t>
      </w:r>
    </w:p>
    <w:p w:rsidR="006337D1" w:rsidRPr="004D36F1" w:rsidRDefault="006337D1" w:rsidP="004D36F1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4D36F1"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  <w:t>ОПОРНОГО ЗАКЛАДУ</w:t>
      </w:r>
    </w:p>
    <w:p w:rsidR="004D36F1" w:rsidRDefault="006337D1" w:rsidP="004D36F1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4D36F1"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  <w:t>«ЗАГАЛЬНООСВІТНЯ ШКОЛА І –ІІІ СТУПЕНІВ</w:t>
      </w:r>
    </w:p>
    <w:p w:rsidR="006337D1" w:rsidRPr="004D36F1" w:rsidRDefault="006337D1" w:rsidP="004D36F1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4D36F1"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с. ТРОЯНІВКА»</w:t>
      </w:r>
    </w:p>
    <w:p w:rsidR="006337D1" w:rsidRPr="004D36F1" w:rsidRDefault="006337D1" w:rsidP="004D36F1">
      <w:pPr>
        <w:keepNext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4D36F1">
        <w:rPr>
          <w:rFonts w:ascii="Times New Roman" w:eastAsia="NSimSun" w:hAnsi="Times New Roman" w:cs="Times New Roman"/>
          <w:b/>
          <w:bCs/>
          <w:kern w:val="3"/>
          <w:sz w:val="36"/>
          <w:szCs w:val="36"/>
          <w:lang w:eastAsia="zh-CN" w:bidi="hi-IN"/>
        </w:rPr>
        <w:t>на 2017-2022 рр.</w:t>
      </w:r>
    </w:p>
    <w:p w:rsidR="006337D1" w:rsidRDefault="006337D1" w:rsidP="006337D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6337D1" w:rsidRDefault="006337D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Місія, бачення, стратегія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 xml:space="preserve">Опорна школа 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 - це сучасний заклад освіти, який задовольняє пізнавальні інтереси дитини, плекає творчу особистість, створює умови для повноцінного інтелектуально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color w:val="1D5C80"/>
          <w:kern w:val="3"/>
          <w:sz w:val="28"/>
          <w:szCs w:val="28"/>
          <w:lang w:eastAsia="zh-CN" w:bidi="hi-IN"/>
        </w:rPr>
        <w:t>Наша Опорна школа: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- школа творчості для вчителів;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- школа спокою для батьків;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- школа радості для дітей.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color w:val="1D5C80"/>
          <w:kern w:val="3"/>
          <w:sz w:val="28"/>
          <w:szCs w:val="28"/>
          <w:lang w:eastAsia="zh-CN" w:bidi="hi-IN"/>
        </w:rPr>
        <w:t>План стратегічного розвитку спрямований на виконання: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Конституції України;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Законів України: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"Про освіту” ; "Про загальну середню освіту” ; "Про Національну програму інформатизації” ; "Про сприяння соціальному становленню та розвитку молоді в Україні” ;"Про молодіжні та дитячі громадські організації”; "Про охорону дитинства” 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Національної Програми "Освіта України ХХІ століття”;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Національної доктрини розвитку освіти;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Національної Програми "Діти України”;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Державних стандартів початкової, базової і повної загальної середньої освіти;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Конвенції про права дитини;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>реалізацію: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нормативно-правових актів щодо розвитку освітньої галузі;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>створення: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належних умов для розвитку доступної та якісної системи освіти школи;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умов рівного доступу до освіти;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гуманних відносин в освітньому закладі;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сприятливих умов для підтримки та розвитку обдарованих учнів;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- належних умов для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соціально-психологічнго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захисту учасників освітнього процесу;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необхідної матеріально-технічної бази;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>забезпечення: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стабільного функціонування освітнього закладу;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розвитку мережі навчального закладу з урахуванням потреб споживачів, суспільних запитів і державних вимог;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суттєвого зростання якості освіти;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наукового підходу до виховання та соціалізації дітей і підлітків.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color w:val="1D5C80"/>
          <w:kern w:val="3"/>
          <w:sz w:val="28"/>
          <w:szCs w:val="28"/>
          <w:lang w:eastAsia="zh-CN" w:bidi="hi-IN"/>
        </w:rPr>
        <w:lastRenderedPageBreak/>
        <w:t>Мета та завдання Опорної школи.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i/>
          <w:color w:val="212121"/>
          <w:kern w:val="3"/>
          <w:sz w:val="28"/>
          <w:szCs w:val="28"/>
          <w:lang w:eastAsia="zh-CN" w:bidi="hi-IN"/>
        </w:rPr>
        <w:t xml:space="preserve">Головні цінності педагогічного </w:t>
      </w:r>
      <w:proofErr w:type="spellStart"/>
      <w:r w:rsidRPr="00B52EF1">
        <w:rPr>
          <w:rFonts w:ascii="Times New Roman" w:eastAsia="NSimSun" w:hAnsi="Times New Roman" w:cs="Times New Roman"/>
          <w:b/>
          <w:bCs/>
          <w:i/>
          <w:color w:val="212121"/>
          <w:kern w:val="3"/>
          <w:sz w:val="28"/>
          <w:szCs w:val="28"/>
          <w:lang w:eastAsia="zh-CN" w:bidi="hi-IN"/>
        </w:rPr>
        <w:t>колективу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—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дитина, культура, творчість. Основний принцип педагогіч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 xml:space="preserve">ного процесу закладу — цілеспрямована взаємодія дорослих і дітей, що виступає джерелом розвитку й задоволення вищих потреб дитини, умовою її можливої реалізації, освітнім середовищем, у якому індивід самостверджується й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самореалізується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i/>
          <w:iCs/>
          <w:color w:val="212121"/>
          <w:kern w:val="3"/>
          <w:sz w:val="28"/>
          <w:szCs w:val="28"/>
          <w:lang w:eastAsia="zh-CN" w:bidi="hi-IN"/>
        </w:rPr>
        <w:t>Наша мета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 - створення такого середовища в школі, яке б плекало творчу особистість, створю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>вало умови для повноцінного інтелектуального, творчого, морального, фізичного розвитку дитини, вироблення сучасної моделі випускника школи, спроможного реалізувати власний позитивний потенціал.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Освіта в нашому закладі буде зосереджуватись на дитині, а не на академічних знаннях, для цього вчитель підтримуватиме і розвиватиме потенціал кожного учня. Відповідно до цього, на уроках діти не стільки готуватимуться до далекого майбутнього життя, а житимуть ним зараз, тобто навчання має бути максимально наближеним до умов сучасного швидкоплинного життя.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i/>
          <w:iCs/>
          <w:color w:val="212121"/>
          <w:kern w:val="3"/>
          <w:sz w:val="28"/>
          <w:szCs w:val="28"/>
          <w:lang w:eastAsia="zh-CN" w:bidi="hi-IN"/>
        </w:rPr>
        <w:t>Завдання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 - реалізація ціннісних пріоритетів особистості, створення розвивального середо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>вища, у якому б реалізувалася модель випускника, задоволення освітніх потреб не тільки обдарованої молоді, а й звичайних учнів, де всі стануть успішними в житті, здатними до інтеграції з європейським співтовариством.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Завдання опорної школи колектив вбачає в здобутті учнями основ мудрості. Тому правило «Будь мудрим!» повинно стати девізом закладу. А це значить вчити учнів узгоджувати свої інтереси з інтересами інших, прагнення досягти спільності з людьми і принести їм користь саме в тому, що найбільше відрізняє особу від інших. Це також означає діяти так, як всі хочуть, але як тільки може мудрий. Разом з цим учні мають знати, що мудрість виявляється, коли знання підсилюються інтуїцією і глибокими роздумами, освітленими високою моральністю. Вона набувається самосвідомістю і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самовихованістю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. В загальному все це сприятиме навчанню учнів вміти, розуміти, аналізувати, тобто мислити.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Стратегічний план розвитку розрахований на 5 років включає в себе: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1. Освітню та виховну складову.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2. Методичну складову.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3. Систему збереження та зміцнення здоров’я учня та вчителя.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4. Матеріально-технічну складову.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Основоположні принципи, що регламентуватимуть роботу Опорної школи: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Діяльність школи базується на принципах гуманізму, демократизму, незалежності від політичних, громадських і релігійних організацій та об'єднань, взаємозв'язку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індивідуалізації, та передбачає: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lastRenderedPageBreak/>
        <w:t>1. Самостійність школи у вирішенні основних питань змісту її діяльності, розвитку різно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>манітних форм співпраці й партнерства, установлення довір'я між учасниками педагогічної діяльності.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2. Науковість та ефективність освітнього процесу на основі сучасних педагогічних досягнень.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3. Демократизм і гуманізм освітнього процесу.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4. Збереження, передача, віднов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>лення й розвиток української національної культури та культури народів світу засобами освіти.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5. Раціональність та доцільність вибору форм і засобів освіти й виховання для задоволення духовних запитів дитини,її пізнавальних та інтелектуальних можли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softHyphen/>
        <w:t>востей, інтересів.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6. Забезпечення фізичного розвитку дитини, збереження її життя і здоров'я.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7. Створення чіткої інноваційної системи гуманітарної освіти.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8. Творчий пошук резервів і джерел вдосконалення роботи школи.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9. Етичність стосунків усіх учасників освітнього процесу.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Ключові переваги стратегії Опорної школи: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1.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 плюралізму і партнерства.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2. Комплексний підхід до розбудови опорної школи і розвитку учня.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3. Орієнтація на створення ситуації успіху та позитивний результат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СТРАТЕГІЧНІ ЗАВДАННЯ РОЗВИТКУ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І.Освітня та виховна складова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>1. Освітня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Забезпечення роботи освітнього закладу відповідно вимогам суспільного замовлення з поєднанням інтелектуальних, творчих, функціональних можливостей кожної дитини, школи в цілому з виховно-розвиваючими можливостями і потребами сім’ї, громади, недержавних організацій.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Продовження виконання державного замовлення на освіту в рамках Держстандарту школою в повному обсязі і високоякісно, забезпечення її випускникам свободи вибору та широких перспектив у майбутньому.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Створення якісної системи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психолого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- педагогічного супроводу освітнього процесу для покращення ефективності на засадах гуманітаризації освіти.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Забезпечення комплексної інформатизації освітнього процесу, та використання новітніх інформаційних технологій освітньої практики;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Утвердження освітнього закладу, як Опорної школи, де основні зусилля спрямовуються не на просту передачу знань від учителя до учня, а на розвиток творчих здібностей та громадянської компетентності вихованців.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Продовження та вдосконалення науково-експериментальної роботи в освітньому закладі:</w:t>
      </w:r>
    </w:p>
    <w:p w:rsidR="00B52EF1" w:rsidRPr="007C3BC3" w:rsidRDefault="00B52EF1" w:rsidP="007C3BC3">
      <w:pPr>
        <w:pStyle w:val="a3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7C3BC3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«Обдарована дитина».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lastRenderedPageBreak/>
        <w:t>Створення в Опорній школі єдиного освітнього інформаційного центру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Створення належних умов для організації науково-дослідницьких робіт учителів та учнів.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Розвиток комунікативних навичок учнів у володінні іноземними мовами;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Налагодження мережевих взаємодій з іншими школами, розвиток школи як відкритої освітньої системи.</w:t>
      </w:r>
    </w:p>
    <w:p w:rsidR="00B52EF1" w:rsidRPr="007C3BC3" w:rsidRDefault="00B52EF1" w:rsidP="007C3BC3">
      <w:pPr>
        <w:pStyle w:val="a3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7C3BC3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>2. Виховна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Формування учня як активного, свідомого, творчого суб’єкта освітнього процесу.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Розвиток системи профорієнтаційної освіти з метою самореалізації особистості в освітньому просторі.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Виховання загальнолюдських цінностей, національної самобутності через традиційні та інноваційні технології в освітньому процесі.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Виховання правової культури в умовах демократичного суспільства.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простір.</w:t>
      </w:r>
    </w:p>
    <w:p w:rsidR="00B52EF1" w:rsidRPr="007C3BC3" w:rsidRDefault="00B52EF1" w:rsidP="007C3BC3">
      <w:pPr>
        <w:pStyle w:val="a3"/>
        <w:keepNext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proofErr w:type="spellStart"/>
      <w:r w:rsidRPr="007C3BC3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ІІ.Методична</w:t>
      </w:r>
      <w:proofErr w:type="spellEnd"/>
      <w:r w:rsidRPr="007C3BC3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 xml:space="preserve"> складова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Створення умов для поліпшення психолого-педагогічної інформаційної, методичної та практичної підготовки педагогічних кадрів.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Стимулювання педагогічної майстерності вчителів.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Вивчення якості забезпечення освітнього процесу кадрами з відповідною педагогічною освітою.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Створення умов для активної постійно діючої системи безперервної освіти педагогів.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Стабілізація стосунків в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педколективі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для створення оптимальних умов для реалізації інноваційних проектів та співробітництва між учителями-фахівцями.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Посилення інтелектуально-кадрового потенціалу як важливого ресурсу інноваційного розвитку та ефективної діяльності освітнього закладу;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Створення системи методичних заходів щодо розвитку професійної компетентності інтелектуально-кадрового потенціалу вчителів, поширення та впровадження позитивного досвіду роботи.</w:t>
      </w:r>
    </w:p>
    <w:p w:rsidR="00B52EF1" w:rsidRPr="007C3BC3" w:rsidRDefault="00B52EF1" w:rsidP="007C3BC3">
      <w:pPr>
        <w:pStyle w:val="a3"/>
        <w:keepNext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7C3BC3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ІІІ. Система збереження і зміцнення здоров’я учня та вчителя.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Створення в Опорній школі цілісної системи позитивного підходу до здорового способу життя, забезпечення якісної підготовки здоров’я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зберігаючих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технологій навчання та виховання.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Сприяння формуванню підстав для критичного мислення відносно знань, навичок, практичних дій, направлених на збереження здоров’я.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Забезпечення учнів необхідною інформацією для формування особистої стратегії, яка б дозволила зберегти і зміцнити здоров’я.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Створення науково-інформаційного простору з питань збереження та зміцнення здоров’я учасників освітнього процесу.</w:t>
      </w:r>
    </w:p>
    <w:p w:rsidR="00B52EF1" w:rsidRPr="00B52EF1" w:rsidRDefault="00B52EF1" w:rsidP="007C3BC3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lastRenderedPageBreak/>
        <w:t>Розширення та урізноманітнення шляхів взаємодії Опорної школи, батьків і громадськості в контексті зміцнення здоров’я.</w:t>
      </w:r>
    </w:p>
    <w:p w:rsidR="007C3BC3" w:rsidRDefault="007C3BC3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7C3BC3" w:rsidRDefault="007C3BC3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7C3BC3" w:rsidRDefault="007C3BC3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 xml:space="preserve">ІV. </w:t>
      </w:r>
      <w:proofErr w:type="spellStart"/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>Матеріално-технічна</w:t>
      </w:r>
      <w:proofErr w:type="spellEnd"/>
      <w:r w:rsidRPr="00B52EF1">
        <w:rPr>
          <w:rFonts w:ascii="Times New Roman" w:eastAsia="NSimSun" w:hAnsi="Times New Roman" w:cs="Times New Roman"/>
          <w:bCs/>
          <w:color w:val="1D5C80"/>
          <w:kern w:val="3"/>
          <w:sz w:val="28"/>
          <w:szCs w:val="28"/>
          <w:lang w:eastAsia="zh-CN" w:bidi="hi-IN"/>
        </w:rPr>
        <w:t xml:space="preserve"> складова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На здійснення завдань </w:t>
      </w:r>
      <w:r w:rsidR="00EE7CF0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Стратегічної програми розвитку О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порної школи джерелами фінансування є державні кошти.</w:t>
      </w:r>
    </w:p>
    <w:tbl>
      <w:tblPr>
        <w:tblW w:w="9638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8795"/>
      </w:tblGrid>
      <w:tr w:rsidR="00B52EF1" w:rsidRPr="00B52EF1" w:rsidTr="000C1555">
        <w:tc>
          <w:tcPr>
            <w:tcW w:w="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b/>
                <w:bCs/>
                <w:color w:val="212121"/>
                <w:kern w:val="3"/>
                <w:sz w:val="28"/>
                <w:szCs w:val="28"/>
                <w:lang w:eastAsia="zh-CN" w:bidi="hi-IN"/>
              </w:rPr>
              <w:t>Рік</w:t>
            </w:r>
          </w:p>
        </w:tc>
        <w:tc>
          <w:tcPr>
            <w:tcW w:w="87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b/>
                <w:bCs/>
                <w:color w:val="212121"/>
                <w:kern w:val="3"/>
                <w:sz w:val="28"/>
                <w:szCs w:val="28"/>
                <w:lang w:eastAsia="zh-CN" w:bidi="hi-IN"/>
              </w:rPr>
              <w:t>Заплановані роботи</w:t>
            </w:r>
          </w:p>
        </w:tc>
      </w:tr>
      <w:tr w:rsidR="00B52EF1" w:rsidRPr="00B52EF1" w:rsidTr="000C1555">
        <w:tc>
          <w:tcPr>
            <w:tcW w:w="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2017-2018</w:t>
            </w:r>
          </w:p>
        </w:tc>
        <w:tc>
          <w:tcPr>
            <w:tcW w:w="87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7C3BC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Поточний ремонт зак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ладу. Придбання кабінету фізики. </w:t>
            </w: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Ремонт стелі</w:t>
            </w:r>
            <w:r w:rsidR="007C3BC3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та стін молодшого корпусу та другого поверху. У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становка енергозберігаючих</w:t>
            </w: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вікон. Реставрація цоколя. Заміна покрівлі.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Ремонт 1 класу НУШ</w:t>
            </w:r>
          </w:p>
        </w:tc>
      </w:tr>
      <w:tr w:rsidR="00B52EF1" w:rsidRPr="00B52EF1" w:rsidTr="007C3BC3">
        <w:trPr>
          <w:trHeight w:val="1848"/>
        </w:trPr>
        <w:tc>
          <w:tcPr>
            <w:tcW w:w="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2018-2019</w:t>
            </w:r>
          </w:p>
        </w:tc>
        <w:tc>
          <w:tcPr>
            <w:tcW w:w="87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7C3BC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Проведення ремонтних робіт місць загального користування. Придбання нових шкільних меблів та </w:t>
            </w:r>
            <w:proofErr w:type="spellStart"/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дошок</w:t>
            </w:r>
            <w:proofErr w:type="spellEnd"/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. Заміна світильників у коридорах та кабінеті інформатики. Установка 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енергозберігаючих</w:t>
            </w:r>
            <w:r w:rsidR="00EE7CF0"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вікон. Поточний ремонт спортивного залу. </w:t>
            </w:r>
            <w:r w:rsidR="007C3BC3" w:rsidRPr="007C3BC3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Ремонт стелі та </w:t>
            </w:r>
            <w:r w:rsidR="007C3BC3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стін коридору на І поверсі</w:t>
            </w:r>
            <w:r w:rsidR="007C3BC3" w:rsidRPr="007C3BC3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Заміна опалювальної системи.</w:t>
            </w:r>
            <w:r w:rsidR="00EE7CF0"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E7CF0" w:rsidRP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Ремонт 1 класу НУШ</w:t>
            </w:r>
          </w:p>
        </w:tc>
      </w:tr>
      <w:tr w:rsidR="00B52EF1" w:rsidRPr="00B52EF1" w:rsidTr="000C1555">
        <w:tc>
          <w:tcPr>
            <w:tcW w:w="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2019-2020</w:t>
            </w:r>
          </w:p>
        </w:tc>
        <w:tc>
          <w:tcPr>
            <w:tcW w:w="87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Придбання мультимедійних проекторів для навчальних кабінетів. Заміна підлоги у коридорах. Ремонт фо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й</w:t>
            </w: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є. Капітальний ремонт запасного виходу.</w:t>
            </w:r>
            <w:r w:rsidR="00EE7CF0"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Укладання бруківки на шкільному подвір’ї. </w:t>
            </w:r>
            <w:r w:rsidR="00EE7CF0" w:rsidRP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Ремонт 1 класу НУШ</w:t>
            </w:r>
          </w:p>
        </w:tc>
      </w:tr>
      <w:tr w:rsidR="00B52EF1" w:rsidRPr="00B52EF1" w:rsidTr="000C1555">
        <w:tc>
          <w:tcPr>
            <w:tcW w:w="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2020-2021</w:t>
            </w:r>
          </w:p>
        </w:tc>
        <w:tc>
          <w:tcPr>
            <w:tcW w:w="87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Поточний ремонт сходових клітин. Створення зони відпочинку на шкільному подвір’ї. Капітальний ремонт обідньої зали їдальні.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Капітальний ремонт кабінету</w:t>
            </w:r>
            <w:r w:rsidR="00EE7CF0"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 xml:space="preserve"> хімії. </w:t>
            </w:r>
            <w:r w:rsidR="00EE7CF0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Ремонт 1 класу НУШ</w:t>
            </w:r>
          </w:p>
        </w:tc>
      </w:tr>
      <w:tr w:rsidR="00B52EF1" w:rsidRPr="00B52EF1" w:rsidTr="000C1555">
        <w:tc>
          <w:tcPr>
            <w:tcW w:w="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B52EF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2021-2022</w:t>
            </w:r>
          </w:p>
        </w:tc>
        <w:tc>
          <w:tcPr>
            <w:tcW w:w="87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EF1" w:rsidRPr="00B52EF1" w:rsidRDefault="00B52EF1" w:rsidP="007C3BC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</w:pP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Поточний ремонт бібліотеки. Придбання нової комп’ютерної техніки. Придбання мультимедійного комп</w:t>
            </w:r>
            <w:r w:rsidR="007C3BC3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лексу; облаштування запасного (центрального) виходу</w:t>
            </w:r>
            <w:r w:rsidRPr="00B52EF1">
              <w:rPr>
                <w:rFonts w:ascii="Times New Roman" w:eastAsia="NSimSun" w:hAnsi="Times New Roman" w:cs="Times New Roman"/>
                <w:color w:val="212121"/>
                <w:kern w:val="3"/>
                <w:sz w:val="28"/>
                <w:szCs w:val="28"/>
                <w:lang w:eastAsia="zh-CN" w:bidi="hi-IN"/>
              </w:rPr>
              <w:t>. Ремонт внутрішніх туалетів.</w:t>
            </w:r>
          </w:p>
        </w:tc>
      </w:tr>
    </w:tbl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i/>
          <w:iCs/>
          <w:color w:val="1D5C80"/>
          <w:kern w:val="3"/>
          <w:sz w:val="28"/>
          <w:szCs w:val="28"/>
          <w:lang w:eastAsia="zh-CN" w:bidi="hi-IN"/>
        </w:rPr>
        <w:t>Структура організації освітнього процесу на трьох ступенях навчання.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В проектуванні і реалізації стратегічних напрямків розвитку за ступенями освіти ми йдемо в першу чергу "від учня", тобто декларування та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втілювання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на практиці ідеї, які відображають відношення школярів до своєї особистої участі в освітньому процесі. Метою будь-якої освітньої системи є створення умов, які забезпечують досягнення учнем відповідного рівня освіти. Ми розуміємо це не тільки як оволодіння відповідними знаннями та вміннями, а і як формування стійких особистісних якостей учнів, необхідних їм в освітньому процесі та після випуску зі школи на протязі всього життя.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i/>
          <w:color w:val="212121"/>
          <w:kern w:val="3"/>
          <w:sz w:val="28"/>
          <w:szCs w:val="28"/>
          <w:lang w:eastAsia="zh-CN" w:bidi="hi-IN"/>
        </w:rPr>
        <w:t>Початкова школа (1-4 класи)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Початкова школа поряд із традиційними цілями освітнього процесу на цій ступені навчання - формування базових знань, умінь та навичок - проголошує ціль розвитку пізнавальної мотивації учня та розвитку комунікативних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lastRenderedPageBreak/>
        <w:t>компетенцій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учня, тобто навичок культури спілкування та самопізнання.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br/>
        <w:t>Призначення початкової школи полягатиме у становленні життєвих навичок особистості учня. Стратегічним напрямком розвитку початкової ступені освіти є створення таких умов, за якими у кожного учня створюється установка, яку можна сформулювати в словах: "Моя школа – Опорний заклад.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br/>
        <w:t>Основне завдання початкової школи - створити умови, які допоможуть дитині, яка починає свій освітній шлях, повірити в те, що навчання може і повинно бути для нього успішним, цікавим та привабливим.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br/>
        <w:t>У школі І ступеня пропонуються такі освітні програми: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Естетичне навчання з впровадженням предметів християнська етика, декоративно прикладного мистецтва.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Традиційне навчання, збагачене дидактичним матеріалом з логічним навантаженням.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i/>
          <w:color w:val="212121"/>
          <w:kern w:val="3"/>
          <w:sz w:val="28"/>
          <w:szCs w:val="28"/>
          <w:lang w:eastAsia="zh-CN" w:bidi="hi-IN"/>
        </w:rPr>
        <w:t>Основна школа (5-7 класи)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Стратегічним напрямком розвитку середнього ступеню освіти є створення таких психолого-педагогічних умов, при яких у кожного учня створюється установка , яку можна сформулювати в словах: "Я вмію та люблю вчитися" і розвивається відповідний комплекс навчальних умінь та навичок та розвивається відповідна система цінностей та мотивів участі в щоденному шкільному житті.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Продовжуючи цілі початкової школи, основним завданням середньої школи є створення таких умов, які дозволять допомогти учню засвоїти "технології успіху та досягнень", при цьому зберегти загальну емоційно-позитивну орієнтацію на школу. Крім того, реалізація даного стратегічного напрямку буде сприяти створенню у школярів комплексної освітньої мотивації, тобто мотивації з основою не тільки на традиційних мотивах обов'язку, але й мотивів корисності (прагматичні) та мотивів задоволення (отримання радісних відчуттів та можливості самореалізації в процесі освітньої діяльності). В подальшому на старшому ступені навчання, отримані учнями 5-7 класів навички ефективної навчальної діяльності дозволять їм успішно засвоювати зміст будь-якого профілю навчання та усвідомлено проектувати свої майбутні професійні та освітні орієнтири.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У школі ІІ ступеня пропонуються такі освітні програми: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традиційне навчання, збагачене дидактичним матеріалом з логічним навантаженням.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i/>
          <w:iCs/>
          <w:color w:val="212121"/>
          <w:kern w:val="3"/>
          <w:sz w:val="28"/>
          <w:szCs w:val="28"/>
          <w:lang w:eastAsia="zh-CN" w:bidi="hi-IN"/>
        </w:rPr>
        <w:t>Основна школа (8-9 класи)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Метою цього етапу є рання спеціалізація за обраним напрямком навчання та створення класів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допрофільної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підготовки.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Головним напрямком роботи з учнями стає формування первинної профільної орієнтації, вдосконалення навичок самостійної інтелектуальної діяльності, початок становлення світоглядної позиції особистості. На рівні 8 - 9 класів учні на базі циклу предметів мають можливість формувати свою індивідуальну освітню стратегію.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lastRenderedPageBreak/>
        <w:t xml:space="preserve">Призначення основної школи - розвиток функціональної грамотності учня, функціональних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компетенцій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, створення умов успішної життєдіяльності в суспільстві, впровадження системи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допрофільної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підготовки до профільного навчання.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У школі ІІ ступеня пропонуються такі освітні програми:</w:t>
      </w:r>
    </w:p>
    <w:p w:rsid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традиційне навчання, збагачене дидактичним матеріалом з логічним навантаженням.</w:t>
      </w:r>
    </w:p>
    <w:p w:rsidR="007C3BC3" w:rsidRDefault="007C3BC3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</w:p>
    <w:p w:rsidR="007C3BC3" w:rsidRPr="00B52EF1" w:rsidRDefault="007C3BC3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</w:p>
    <w:p w:rsidR="00B52EF1" w:rsidRPr="00B52EF1" w:rsidRDefault="00B52EF1" w:rsidP="00B52E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i/>
          <w:iCs/>
          <w:color w:val="212121"/>
          <w:kern w:val="3"/>
          <w:sz w:val="28"/>
          <w:szCs w:val="28"/>
          <w:lang w:eastAsia="zh-CN" w:bidi="hi-IN"/>
        </w:rPr>
        <w:t>Старша школа ( 10-11 класи, профільне навчання)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Метою педагогічного процесу на даному етапі є завершення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Стратегічним напрямком розвитку старшого ступеню освіти є створення таких психолого-педагогічних умов, при яких у кожного учня створюється установка: "Я вибираю свій життєвий шлях і хочу вчитися далі".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Тому призначення старшої школи - оформлення життєвого проекту особистості, становлення індивідуально - особистісної технології життєтворчості, орієнтація учня на життєву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самовизначеність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, майбутню професію, трудову діяльність. Саме старша школа відповідає за досягнення учнем рівня професійної компетентності, саме старша школа повинна підготувати учня до життєвого самовизначення. У зв'язку з цим, головним стає питання те, яким чином той чи інший профіль забезпечує досягнення учнем необхідного рівня базової компетентності та сприяє здійсненню учнем успішного вибору подальшого освітнього та професійного шляху.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color w:val="212121"/>
          <w:kern w:val="3"/>
          <w:sz w:val="28"/>
          <w:szCs w:val="28"/>
          <w:lang w:eastAsia="zh-CN" w:bidi="hi-IN"/>
        </w:rPr>
        <w:t>У школі ІІІ ступеня пропонуються такі освітні програми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профілі української філології та біології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- традиційне навчання, збагачене дидактичним матеріалом з логічним навантаженням.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i/>
          <w:iCs/>
          <w:color w:val="212121"/>
          <w:kern w:val="3"/>
          <w:sz w:val="28"/>
          <w:szCs w:val="28"/>
          <w:lang w:eastAsia="zh-CN" w:bidi="hi-IN"/>
        </w:rPr>
        <w:t>Доцільними будуть такі форми викладання:</w:t>
      </w: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 лекція, семінар, практикум, лабораторні заняття. Старшокласники займатимуться дослідницькою діяльністю, оволодіватимуть навичками захисту проектів, основами само презентації, братимуть участь в роботі Всеукраїнських конкурсах  учнівської творчості.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Таким чином, основним напрямком розвитку школи стане реалізація </w:t>
      </w:r>
      <w:proofErr w:type="spellStart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компетентнісного</w:t>
      </w:r>
      <w:proofErr w:type="spellEnd"/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 xml:space="preserve"> підходу в освітній взаємодії. Тобто це така практика, при якій відбувається засвоєння кожним учнем комплексу знань, умінь та навичок, який дозволяє учневі розв'язувати життєво значущі завдання як в процесі навчання в школі, так і в подальшому житті.</w:t>
      </w:r>
    </w:p>
    <w:p w:rsidR="00B52EF1" w:rsidRPr="00B52EF1" w:rsidRDefault="00B52EF1" w:rsidP="00B52EF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b/>
          <w:bCs/>
          <w:i/>
          <w:iCs/>
          <w:color w:val="1D5C80"/>
          <w:kern w:val="3"/>
          <w:sz w:val="28"/>
          <w:szCs w:val="28"/>
          <w:lang w:eastAsia="zh-CN" w:bidi="hi-IN"/>
        </w:rPr>
        <w:t>Очікувані результати</w:t>
      </w:r>
    </w:p>
    <w:p w:rsidR="00B52EF1" w:rsidRPr="00B52EF1" w:rsidRDefault="00B52EF1" w:rsidP="007C3BC3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0" w:firstLine="142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Опорна школа – школа співпраці, уміння жити і працювати з тими, хто поруч.</w:t>
      </w:r>
    </w:p>
    <w:p w:rsidR="00B52EF1" w:rsidRPr="00B52EF1" w:rsidRDefault="00B52EF1" w:rsidP="007C3BC3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0" w:firstLine="142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Опорна школа – школа з позитивною атмосферою, емоційним комфортом та можливістю самореалізації кожного вчителя та учня.</w:t>
      </w:r>
    </w:p>
    <w:p w:rsidR="00B52EF1" w:rsidRPr="00B52EF1" w:rsidRDefault="00B52EF1" w:rsidP="007C3BC3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0" w:firstLine="142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lastRenderedPageBreak/>
        <w:t>Опорна школа – заклад освіти, зосереджений на дитині, а не на академічних знаннях.</w:t>
      </w:r>
    </w:p>
    <w:p w:rsidR="00B52EF1" w:rsidRPr="00B52EF1" w:rsidRDefault="00B52EF1" w:rsidP="007C3BC3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0" w:firstLine="142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Опорна школа – плацдарм для впровадження інноваційних та передових технологій.</w:t>
      </w:r>
    </w:p>
    <w:p w:rsidR="00B52EF1" w:rsidRPr="00B52EF1" w:rsidRDefault="00B52EF1" w:rsidP="007C3BC3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0" w:firstLine="142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Опорна школа – заклад освіти, націлений на майбутнє в єдиному освітньому просторі.</w:t>
      </w:r>
    </w:p>
    <w:p w:rsidR="00B52EF1" w:rsidRPr="00B52EF1" w:rsidRDefault="00B52EF1" w:rsidP="007C3BC3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0" w:firstLine="142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B52EF1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Наш випускник - успішний випускник, здатний правильно обрати професію, побудувати особисту кар’єру та власне життя.</w:t>
      </w:r>
    </w:p>
    <w:p w:rsidR="00B52EF1" w:rsidRPr="00B52EF1" w:rsidRDefault="00B52EF1" w:rsidP="00B52EF1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C71EAA" w:rsidRDefault="00C71EAA"/>
    <w:sectPr w:rsidR="00C71EAA" w:rsidSect="007C3BC3">
      <w:footerReference w:type="default" r:id="rId8"/>
      <w:pgSz w:w="11906" w:h="16838"/>
      <w:pgMar w:top="1134" w:right="566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CB" w:rsidRDefault="004053CB" w:rsidP="004053CB">
      <w:pPr>
        <w:spacing w:after="0" w:line="240" w:lineRule="auto"/>
      </w:pPr>
      <w:r>
        <w:separator/>
      </w:r>
    </w:p>
  </w:endnote>
  <w:endnote w:type="continuationSeparator" w:id="0">
    <w:p w:rsidR="004053CB" w:rsidRDefault="004053CB" w:rsidP="0040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8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3CB" w:rsidRDefault="004053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6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53CB" w:rsidRDefault="00405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CB" w:rsidRDefault="004053CB" w:rsidP="004053CB">
      <w:pPr>
        <w:spacing w:after="0" w:line="240" w:lineRule="auto"/>
      </w:pPr>
      <w:r>
        <w:separator/>
      </w:r>
    </w:p>
  </w:footnote>
  <w:footnote w:type="continuationSeparator" w:id="0">
    <w:p w:rsidR="004053CB" w:rsidRDefault="004053CB" w:rsidP="0040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DD"/>
    <w:multiLevelType w:val="multilevel"/>
    <w:tmpl w:val="98602E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C1A7683"/>
    <w:multiLevelType w:val="multilevel"/>
    <w:tmpl w:val="87BE10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5C01B57"/>
    <w:multiLevelType w:val="multilevel"/>
    <w:tmpl w:val="1B82CD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7195C35"/>
    <w:multiLevelType w:val="multilevel"/>
    <w:tmpl w:val="3ADA4E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AAE4A02"/>
    <w:multiLevelType w:val="multilevel"/>
    <w:tmpl w:val="FAFADA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B900CF1"/>
    <w:multiLevelType w:val="multilevel"/>
    <w:tmpl w:val="717E4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C977425"/>
    <w:multiLevelType w:val="multilevel"/>
    <w:tmpl w:val="1D1C18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6C22B65"/>
    <w:multiLevelType w:val="multilevel"/>
    <w:tmpl w:val="098479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26EA18FF"/>
    <w:multiLevelType w:val="multilevel"/>
    <w:tmpl w:val="359E3E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2A74549F"/>
    <w:multiLevelType w:val="multilevel"/>
    <w:tmpl w:val="20641D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C334FDE"/>
    <w:multiLevelType w:val="multilevel"/>
    <w:tmpl w:val="592A23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E1E76FB"/>
    <w:multiLevelType w:val="multilevel"/>
    <w:tmpl w:val="BD201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30EE4C4D"/>
    <w:multiLevelType w:val="multilevel"/>
    <w:tmpl w:val="C9AEB1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313C01CE"/>
    <w:multiLevelType w:val="multilevel"/>
    <w:tmpl w:val="D674C9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33062F9B"/>
    <w:multiLevelType w:val="multilevel"/>
    <w:tmpl w:val="0BCE27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35DF71A7"/>
    <w:multiLevelType w:val="multilevel"/>
    <w:tmpl w:val="AD4A6C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36034489"/>
    <w:multiLevelType w:val="hybridMultilevel"/>
    <w:tmpl w:val="EB6C1B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B6A25"/>
    <w:multiLevelType w:val="multilevel"/>
    <w:tmpl w:val="99EA5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3ABD216E"/>
    <w:multiLevelType w:val="multilevel"/>
    <w:tmpl w:val="5B74ED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20C195E"/>
    <w:multiLevelType w:val="multilevel"/>
    <w:tmpl w:val="CBD2E4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4AA56F7A"/>
    <w:multiLevelType w:val="multilevel"/>
    <w:tmpl w:val="FB64DE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4ED343DF"/>
    <w:multiLevelType w:val="multilevel"/>
    <w:tmpl w:val="FE84CC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51707338"/>
    <w:multiLevelType w:val="multilevel"/>
    <w:tmpl w:val="DF182A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56FC43D0"/>
    <w:multiLevelType w:val="multilevel"/>
    <w:tmpl w:val="74BA80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5B481402"/>
    <w:multiLevelType w:val="multilevel"/>
    <w:tmpl w:val="ADBED2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5D24701D"/>
    <w:multiLevelType w:val="multilevel"/>
    <w:tmpl w:val="9E2A4E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5D5A1CF2"/>
    <w:multiLevelType w:val="multilevel"/>
    <w:tmpl w:val="548253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5E6F19AD"/>
    <w:multiLevelType w:val="multilevel"/>
    <w:tmpl w:val="5B58D2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60EA2B7B"/>
    <w:multiLevelType w:val="multilevel"/>
    <w:tmpl w:val="A88449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666E45EC"/>
    <w:multiLevelType w:val="multilevel"/>
    <w:tmpl w:val="53FC79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>
    <w:nsid w:val="66E22909"/>
    <w:multiLevelType w:val="multilevel"/>
    <w:tmpl w:val="DB76E9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>
    <w:nsid w:val="67370892"/>
    <w:multiLevelType w:val="multilevel"/>
    <w:tmpl w:val="14B6CF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6917771E"/>
    <w:multiLevelType w:val="multilevel"/>
    <w:tmpl w:val="2042C8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>
    <w:nsid w:val="6F6123E3"/>
    <w:multiLevelType w:val="multilevel"/>
    <w:tmpl w:val="F244C3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>
    <w:nsid w:val="75910C5A"/>
    <w:multiLevelType w:val="multilevel"/>
    <w:tmpl w:val="2FD20F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>
    <w:nsid w:val="78A81A18"/>
    <w:multiLevelType w:val="multilevel"/>
    <w:tmpl w:val="807C87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>
    <w:nsid w:val="7B9A0D3E"/>
    <w:multiLevelType w:val="hybridMultilevel"/>
    <w:tmpl w:val="82CA0C6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9"/>
  </w:num>
  <w:num w:numId="5">
    <w:abstractNumId w:val="32"/>
  </w:num>
  <w:num w:numId="6">
    <w:abstractNumId w:val="27"/>
  </w:num>
  <w:num w:numId="7">
    <w:abstractNumId w:val="5"/>
  </w:num>
  <w:num w:numId="8">
    <w:abstractNumId w:val="25"/>
  </w:num>
  <w:num w:numId="9">
    <w:abstractNumId w:val="33"/>
  </w:num>
  <w:num w:numId="10">
    <w:abstractNumId w:val="19"/>
  </w:num>
  <w:num w:numId="11">
    <w:abstractNumId w:val="28"/>
  </w:num>
  <w:num w:numId="12">
    <w:abstractNumId w:val="30"/>
  </w:num>
  <w:num w:numId="13">
    <w:abstractNumId w:val="20"/>
  </w:num>
  <w:num w:numId="14">
    <w:abstractNumId w:val="21"/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  <w:num w:numId="19">
    <w:abstractNumId w:val="15"/>
  </w:num>
  <w:num w:numId="20">
    <w:abstractNumId w:val="24"/>
  </w:num>
  <w:num w:numId="21">
    <w:abstractNumId w:val="7"/>
  </w:num>
  <w:num w:numId="22">
    <w:abstractNumId w:val="8"/>
  </w:num>
  <w:num w:numId="23">
    <w:abstractNumId w:val="14"/>
  </w:num>
  <w:num w:numId="24">
    <w:abstractNumId w:val="35"/>
  </w:num>
  <w:num w:numId="25">
    <w:abstractNumId w:val="22"/>
  </w:num>
  <w:num w:numId="26">
    <w:abstractNumId w:val="12"/>
  </w:num>
  <w:num w:numId="27">
    <w:abstractNumId w:val="23"/>
  </w:num>
  <w:num w:numId="28">
    <w:abstractNumId w:val="9"/>
  </w:num>
  <w:num w:numId="29">
    <w:abstractNumId w:val="17"/>
  </w:num>
  <w:num w:numId="30">
    <w:abstractNumId w:val="34"/>
  </w:num>
  <w:num w:numId="31">
    <w:abstractNumId w:val="26"/>
  </w:num>
  <w:num w:numId="32">
    <w:abstractNumId w:val="31"/>
  </w:num>
  <w:num w:numId="33">
    <w:abstractNumId w:val="18"/>
  </w:num>
  <w:num w:numId="34">
    <w:abstractNumId w:val="2"/>
  </w:num>
  <w:num w:numId="35">
    <w:abstractNumId w:val="1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1"/>
    <w:rsid w:val="004053CB"/>
    <w:rsid w:val="004D36F1"/>
    <w:rsid w:val="006337D1"/>
    <w:rsid w:val="007C3BC3"/>
    <w:rsid w:val="00A97AF7"/>
    <w:rsid w:val="00B52EF1"/>
    <w:rsid w:val="00C71EAA"/>
    <w:rsid w:val="00E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3CB"/>
  </w:style>
  <w:style w:type="paragraph" w:styleId="a6">
    <w:name w:val="footer"/>
    <w:basedOn w:val="a"/>
    <w:link w:val="a7"/>
    <w:uiPriority w:val="99"/>
    <w:unhideWhenUsed/>
    <w:rsid w:val="0040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3CB"/>
  </w:style>
  <w:style w:type="paragraph" w:styleId="a6">
    <w:name w:val="footer"/>
    <w:basedOn w:val="a"/>
    <w:link w:val="a7"/>
    <w:uiPriority w:val="99"/>
    <w:unhideWhenUsed/>
    <w:rsid w:val="0040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11285</Words>
  <Characters>6434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TEACHER-PC1</dc:creator>
  <cp:lastModifiedBy>TEACHER-PC1</cp:lastModifiedBy>
  <cp:revision>6</cp:revision>
  <dcterms:created xsi:type="dcterms:W3CDTF">2020-02-18T10:18:00Z</dcterms:created>
  <dcterms:modified xsi:type="dcterms:W3CDTF">2020-02-18T12:34:00Z</dcterms:modified>
</cp:coreProperties>
</file>